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6310" w:rsidRDefault="00D46310" w:rsidP="00D46310">
      <w:pPr>
        <w:pStyle w:val="Heading1"/>
        <w:spacing w:before="0"/>
        <w:textAlignment w:val="baseline"/>
        <w:rPr>
          <w:rFonts w:ascii="Lucida Sans Unicode" w:hAnsi="Lucida Sans Unicode" w:cs="Lucida Sans Unicode"/>
          <w:color w:val="565A5C"/>
          <w:spacing w:val="3"/>
        </w:rPr>
      </w:pPr>
      <w:r w:rsidRPr="00D46310">
        <w:rPr>
          <w:rFonts w:ascii="Arial" w:eastAsia="Times New Roman" w:hAnsi="Arial" w:cs="Arial"/>
          <w:noProof/>
          <w:color w:val="565A5C"/>
          <w:sz w:val="27"/>
          <w:szCs w:val="27"/>
        </w:rPr>
        <mc:AlternateContent>
          <mc:Choice Requires="wps">
            <w:drawing>
              <wp:inline distT="0" distB="0" distL="0" distR="0">
                <wp:extent cx="304800" cy="304800"/>
                <wp:effectExtent l="0" t="0" r="0" b="0"/>
                <wp:docPr id="6" name="Rectangle 6" descr="https://learn.snhu.edu/d2l/im/d2lreader/tier1-volume.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C1DFC5" id="Rectangle 6" o:spid="_x0000_s1026" alt="https://learn.snhu.edu/d2l/im/d2lreader/tier1-volume.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C7hQuzeAgAA+AUAAA4AAAAAAAAAAAAAAAAALgIAAGRy&#10;cy9lMm9Eb2MueG1sUEsBAi0AFAAGAAgAAAAhAEyg6SzYAAAAAwEAAA8AAAAAAAAAAAAAAAAAOAUA&#10;AGRycy9kb3ducmV2LnhtbFBLBQYAAAAABAAEAPMAAAA9BgAAAAA=&#10;" filled="f" stroked="f">
                <o:lock v:ext="edit" aspectratio="t"/>
                <w10:anchorlock/>
              </v:rect>
            </w:pict>
          </mc:Fallback>
        </mc:AlternateContent>
      </w:r>
      <w:r>
        <w:rPr>
          <w:rFonts w:ascii="Lucida Sans Unicode" w:hAnsi="Lucida Sans Unicode" w:cs="Lucida Sans Unicode"/>
          <w:b/>
          <w:bCs/>
          <w:color w:val="565A5C"/>
          <w:spacing w:val="3"/>
        </w:rPr>
        <w:t>1-3-1 Short Response: Historical Bias</w:t>
      </w:r>
    </w:p>
    <w:p w:rsidR="00D46310" w:rsidRDefault="00D46310" w:rsidP="00D46310">
      <w:pPr>
        <w:textAlignment w:val="baseline"/>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 </w:t>
      </w:r>
    </w:p>
    <w:p w:rsidR="00D46310" w:rsidRDefault="00D46310" w:rsidP="00D46310">
      <w:pPr>
        <w:textAlignment w:val="baseline"/>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 </w:t>
      </w:r>
    </w:p>
    <w:p w:rsidR="00D46310" w:rsidRDefault="00D46310" w:rsidP="00D46310">
      <w:pPr>
        <w:pStyle w:val="Heading2"/>
        <w:spacing w:before="0"/>
        <w:ind w:right="90"/>
        <w:rPr>
          <w:rFonts w:ascii="Lucida Sans Unicode" w:hAnsi="Lucida Sans Unicode" w:cs="Lucida Sans Unicode"/>
          <w:color w:val="565A5C"/>
          <w:spacing w:val="3"/>
          <w:sz w:val="36"/>
          <w:szCs w:val="36"/>
        </w:rPr>
      </w:pPr>
      <w:r>
        <w:rPr>
          <w:rFonts w:ascii="Lucida Sans Unicode" w:hAnsi="Lucida Sans Unicode" w:cs="Lucida Sans Unicode"/>
          <w:color w:val="565A5C"/>
          <w:spacing w:val="3"/>
        </w:rPr>
        <w:t>Instructions</w:t>
      </w:r>
    </w:p>
    <w:tbl>
      <w:tblPr>
        <w:tblW w:w="0" w:type="auto"/>
        <w:tblCellMar>
          <w:top w:w="15" w:type="dxa"/>
          <w:left w:w="15" w:type="dxa"/>
          <w:bottom w:w="15" w:type="dxa"/>
          <w:right w:w="15" w:type="dxa"/>
        </w:tblCellMar>
        <w:tblLook w:val="04A0" w:firstRow="1" w:lastRow="0" w:firstColumn="1" w:lastColumn="0" w:noHBand="0" w:noVBand="1"/>
      </w:tblPr>
      <w:tblGrid>
        <w:gridCol w:w="1380"/>
        <w:gridCol w:w="7980"/>
      </w:tblGrid>
      <w:tr w:rsidR="00D46310" w:rsidTr="00D46310">
        <w:tc>
          <w:tcPr>
            <w:tcW w:w="0" w:type="auto"/>
            <w:vAlign w:val="center"/>
            <w:hideMark/>
          </w:tcPr>
          <w:p w:rsidR="00D46310" w:rsidRDefault="00D46310">
            <w:pPr>
              <w:rPr>
                <w:rFonts w:ascii="Times New Roman" w:hAnsi="Times New Roman" w:cs="Times New Roman"/>
              </w:rPr>
            </w:pPr>
            <w:r>
              <w:rPr>
                <w:noProof/>
              </w:rPr>
              <w:drawing>
                <wp:inline distT="0" distB="0" distL="0" distR="0">
                  <wp:extent cx="857250" cy="857250"/>
                  <wp:effectExtent l="0" t="0" r="0" b="0"/>
                  <wp:docPr id="7" name="Picture 7" descr="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ssign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D46310" w:rsidRDefault="00D46310">
            <w:r>
              <w:t xml:space="preserve">After reviewing Zinn's and </w:t>
            </w:r>
            <w:proofErr w:type="spellStart"/>
            <w:r>
              <w:t>Schweikart's</w:t>
            </w:r>
            <w:proofErr w:type="spellEnd"/>
            <w:r>
              <w:t xml:space="preserve"> personal assumptions, beliefs, and values as well as excerpts from their historical writing, respond to the following questions:</w:t>
            </w:r>
          </w:p>
          <w:p w:rsidR="00D46310" w:rsidRDefault="00D46310" w:rsidP="00D46310">
            <w:pPr>
              <w:numPr>
                <w:ilvl w:val="0"/>
                <w:numId w:val="1"/>
              </w:numPr>
              <w:spacing w:after="0" w:line="240" w:lineRule="auto"/>
              <w:ind w:left="0"/>
              <w:rPr>
                <w:sz w:val="29"/>
                <w:szCs w:val="29"/>
              </w:rPr>
            </w:pPr>
            <w:r>
              <w:rPr>
                <w:sz w:val="29"/>
                <w:szCs w:val="29"/>
              </w:rPr>
              <w:t xml:space="preserve">1. </w:t>
            </w:r>
            <w:r>
              <w:rPr>
                <w:sz w:val="29"/>
                <w:szCs w:val="29"/>
              </w:rPr>
              <w:t xml:space="preserve">What do you believe to be the major distinctions in their </w:t>
            </w:r>
            <w:r>
              <w:rPr>
                <w:sz w:val="29"/>
                <w:szCs w:val="29"/>
              </w:rPr>
              <w:t xml:space="preserve">        </w:t>
            </w:r>
            <w:r>
              <w:rPr>
                <w:sz w:val="29"/>
                <w:szCs w:val="29"/>
              </w:rPr>
              <w:t>personal assumptions, beliefs, and values?</w:t>
            </w:r>
          </w:p>
          <w:p w:rsidR="00D46310" w:rsidRDefault="00D46310" w:rsidP="00D46310">
            <w:pPr>
              <w:numPr>
                <w:ilvl w:val="0"/>
                <w:numId w:val="1"/>
              </w:numPr>
              <w:spacing w:after="0" w:line="240" w:lineRule="auto"/>
              <w:ind w:left="0"/>
              <w:rPr>
                <w:sz w:val="29"/>
                <w:szCs w:val="29"/>
              </w:rPr>
            </w:pPr>
          </w:p>
          <w:p w:rsidR="00D46310" w:rsidRDefault="00D46310" w:rsidP="00D46310">
            <w:pPr>
              <w:numPr>
                <w:ilvl w:val="0"/>
                <w:numId w:val="1"/>
              </w:numPr>
              <w:spacing w:after="0" w:line="240" w:lineRule="auto"/>
              <w:ind w:left="0"/>
              <w:rPr>
                <w:sz w:val="29"/>
                <w:szCs w:val="29"/>
              </w:rPr>
            </w:pPr>
            <w:r>
              <w:rPr>
                <w:sz w:val="29"/>
                <w:szCs w:val="29"/>
              </w:rPr>
              <w:t xml:space="preserve">2. </w:t>
            </w:r>
            <w:r>
              <w:rPr>
                <w:sz w:val="29"/>
                <w:szCs w:val="29"/>
              </w:rPr>
              <w:t>What do you believe to be the major distinctions in their interpretations of history?</w:t>
            </w:r>
          </w:p>
          <w:p w:rsidR="00D46310" w:rsidRDefault="00D46310" w:rsidP="00D46310">
            <w:pPr>
              <w:numPr>
                <w:ilvl w:val="0"/>
                <w:numId w:val="1"/>
              </w:numPr>
              <w:spacing w:after="0" w:line="240" w:lineRule="auto"/>
              <w:ind w:left="0"/>
              <w:rPr>
                <w:sz w:val="29"/>
                <w:szCs w:val="29"/>
              </w:rPr>
            </w:pPr>
          </w:p>
          <w:p w:rsidR="00D46310" w:rsidRDefault="00D46310" w:rsidP="00D46310">
            <w:pPr>
              <w:numPr>
                <w:ilvl w:val="0"/>
                <w:numId w:val="1"/>
              </w:numPr>
              <w:spacing w:after="0" w:line="240" w:lineRule="auto"/>
              <w:ind w:left="0"/>
              <w:rPr>
                <w:sz w:val="29"/>
                <w:szCs w:val="29"/>
              </w:rPr>
            </w:pPr>
            <w:r>
              <w:rPr>
                <w:sz w:val="29"/>
                <w:szCs w:val="29"/>
              </w:rPr>
              <w:t xml:space="preserve">3. </w:t>
            </w:r>
            <w:bookmarkStart w:id="0" w:name="_GoBack"/>
            <w:bookmarkEnd w:id="0"/>
            <w:r>
              <w:rPr>
                <w:sz w:val="29"/>
                <w:szCs w:val="29"/>
              </w:rPr>
              <w:t>Do you notice any biases? If so, what are they?</w:t>
            </w:r>
          </w:p>
        </w:tc>
      </w:tr>
    </w:tbl>
    <w:p w:rsidR="00D46310" w:rsidRPr="00D46310" w:rsidRDefault="00D46310" w:rsidP="00D46310">
      <w:pPr>
        <w:spacing w:after="0" w:line="240" w:lineRule="auto"/>
        <w:rPr>
          <w:rFonts w:ascii="Arial" w:eastAsia="Times New Roman" w:hAnsi="Arial" w:cs="Arial"/>
          <w:color w:val="565A5C"/>
          <w:sz w:val="27"/>
          <w:szCs w:val="27"/>
        </w:rPr>
      </w:pPr>
    </w:p>
    <w:p w:rsidR="00D46310" w:rsidRDefault="00D46310" w:rsidP="00D46310">
      <w:pPr>
        <w:spacing w:before="100" w:beforeAutospacing="1" w:after="100" w:afterAutospacing="1" w:line="240" w:lineRule="auto"/>
        <w:outlineLvl w:val="2"/>
        <w:rPr>
          <w:rFonts w:ascii="Arial" w:eastAsia="Times New Roman" w:hAnsi="Arial" w:cs="Arial"/>
          <w:b/>
          <w:bCs/>
          <w:color w:val="565A5C"/>
          <w:sz w:val="27"/>
          <w:szCs w:val="27"/>
        </w:rPr>
      </w:pPr>
    </w:p>
    <w:p w:rsidR="00D46310" w:rsidRDefault="00D46310" w:rsidP="00D46310">
      <w:pPr>
        <w:spacing w:before="100" w:beforeAutospacing="1" w:after="100" w:afterAutospacing="1" w:line="240" w:lineRule="auto"/>
        <w:outlineLvl w:val="2"/>
        <w:rPr>
          <w:rFonts w:ascii="Arial" w:eastAsia="Times New Roman" w:hAnsi="Arial" w:cs="Arial"/>
          <w:b/>
          <w:bCs/>
          <w:color w:val="565A5C"/>
          <w:sz w:val="27"/>
          <w:szCs w:val="27"/>
        </w:rPr>
      </w:pPr>
    </w:p>
    <w:p w:rsidR="00D46310" w:rsidRDefault="00D46310" w:rsidP="00D46310">
      <w:pPr>
        <w:spacing w:before="100" w:beforeAutospacing="1" w:after="100" w:afterAutospacing="1" w:line="240" w:lineRule="auto"/>
        <w:outlineLvl w:val="2"/>
        <w:rPr>
          <w:rFonts w:ascii="Arial" w:eastAsia="Times New Roman" w:hAnsi="Arial" w:cs="Arial"/>
          <w:b/>
          <w:bCs/>
          <w:color w:val="565A5C"/>
          <w:sz w:val="27"/>
          <w:szCs w:val="27"/>
        </w:rPr>
      </w:pPr>
    </w:p>
    <w:p w:rsidR="00D46310" w:rsidRDefault="00D46310" w:rsidP="00D46310">
      <w:pPr>
        <w:spacing w:before="100" w:beforeAutospacing="1" w:after="100" w:afterAutospacing="1" w:line="240" w:lineRule="auto"/>
        <w:outlineLvl w:val="2"/>
        <w:rPr>
          <w:rFonts w:ascii="Arial" w:eastAsia="Times New Roman" w:hAnsi="Arial" w:cs="Arial"/>
          <w:b/>
          <w:bCs/>
          <w:color w:val="565A5C"/>
          <w:sz w:val="27"/>
          <w:szCs w:val="27"/>
        </w:rPr>
      </w:pPr>
    </w:p>
    <w:p w:rsidR="00D46310" w:rsidRPr="00D46310" w:rsidRDefault="00D46310" w:rsidP="00D46310">
      <w:pPr>
        <w:spacing w:before="100" w:beforeAutospacing="1" w:after="100" w:afterAutospacing="1" w:line="240" w:lineRule="auto"/>
        <w:outlineLvl w:val="2"/>
        <w:rPr>
          <w:rFonts w:ascii="Arial" w:eastAsia="Times New Roman" w:hAnsi="Arial" w:cs="Arial"/>
          <w:b/>
          <w:bCs/>
          <w:color w:val="565A5C"/>
          <w:sz w:val="27"/>
          <w:szCs w:val="27"/>
        </w:rPr>
      </w:pPr>
      <w:r w:rsidRPr="00D46310">
        <w:rPr>
          <w:rFonts w:ascii="Arial" w:eastAsia="Times New Roman" w:hAnsi="Arial" w:cs="Arial"/>
          <w:b/>
          <w:bCs/>
          <w:color w:val="565A5C"/>
          <w:sz w:val="27"/>
          <w:szCs w:val="27"/>
        </w:rPr>
        <w:t>Perspectives: A Tale of Two Historians</w:t>
      </w:r>
    </w:p>
    <w:tbl>
      <w:tblPr>
        <w:tblW w:w="0" w:type="auto"/>
        <w:tblCellSpacing w:w="15" w:type="dxa"/>
        <w:tblCellMar>
          <w:top w:w="75" w:type="dxa"/>
          <w:left w:w="75" w:type="dxa"/>
          <w:bottom w:w="75" w:type="dxa"/>
          <w:right w:w="75" w:type="dxa"/>
        </w:tblCellMar>
        <w:tblLook w:val="04A0" w:firstRow="1" w:lastRow="0" w:firstColumn="1" w:lastColumn="0" w:noHBand="0" w:noVBand="1"/>
      </w:tblPr>
      <w:tblGrid>
        <w:gridCol w:w="1545"/>
        <w:gridCol w:w="7815"/>
      </w:tblGrid>
      <w:tr w:rsidR="00D46310" w:rsidRPr="00D46310" w:rsidTr="00D46310">
        <w:trPr>
          <w:tblCellSpacing w:w="15" w:type="dxa"/>
        </w:trPr>
        <w:tc>
          <w:tcPr>
            <w:tcW w:w="0" w:type="auto"/>
            <w:hideMark/>
          </w:tcPr>
          <w:p w:rsidR="00D46310" w:rsidRPr="00D46310" w:rsidRDefault="00D46310" w:rsidP="00D46310">
            <w:pPr>
              <w:spacing w:after="0" w:line="240" w:lineRule="auto"/>
              <w:rPr>
                <w:rFonts w:ascii="Times New Roman" w:eastAsia="Times New Roman" w:hAnsi="Times New Roman" w:cs="Times New Roman"/>
                <w:sz w:val="24"/>
                <w:szCs w:val="24"/>
              </w:rPr>
            </w:pPr>
            <w:r w:rsidRPr="00D46310">
              <w:rPr>
                <w:rFonts w:ascii="Times New Roman" w:eastAsia="Times New Roman" w:hAnsi="Times New Roman" w:cs="Times New Roman"/>
                <w:noProof/>
                <w:sz w:val="24"/>
                <w:szCs w:val="24"/>
              </w:rPr>
              <w:drawing>
                <wp:inline distT="0" distB="0" distL="0" distR="0">
                  <wp:extent cx="857250" cy="857250"/>
                  <wp:effectExtent l="0" t="0" r="0" b="0"/>
                  <wp:docPr id="5" name="Picture 5" descr="Interactive Activ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active Activity Ic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D46310" w:rsidRPr="00D46310" w:rsidRDefault="00D46310" w:rsidP="00D46310">
            <w:pPr>
              <w:spacing w:after="0" w:line="240" w:lineRule="auto"/>
              <w:rPr>
                <w:rFonts w:ascii="Times New Roman" w:eastAsia="Times New Roman" w:hAnsi="Times New Roman" w:cs="Times New Roman"/>
                <w:sz w:val="24"/>
                <w:szCs w:val="24"/>
              </w:rPr>
            </w:pPr>
            <w:r w:rsidRPr="00D46310">
              <w:rPr>
                <w:rFonts w:ascii="Times New Roman" w:eastAsia="Times New Roman" w:hAnsi="Times New Roman" w:cs="Times New Roman"/>
                <w:sz w:val="24"/>
                <w:szCs w:val="24"/>
              </w:rPr>
              <w:t>In history, bias is defined as the incorporation of personal assumptions, beliefs, and values into historical writing. Sometimes this bias is conscious, and other times it is unconscious. Reading a bit more about a historian can help you understand their personal assumptions, beliefs, and values. In turn, this can help you understand what biases they might potentially introduce in their writing.</w:t>
            </w:r>
          </w:p>
          <w:p w:rsidR="00D46310" w:rsidRPr="00D46310" w:rsidRDefault="00D46310" w:rsidP="00D46310">
            <w:pPr>
              <w:spacing w:before="100" w:beforeAutospacing="1" w:after="100" w:afterAutospacing="1" w:line="240" w:lineRule="auto"/>
              <w:rPr>
                <w:rFonts w:ascii="Times New Roman" w:eastAsia="Times New Roman" w:hAnsi="Times New Roman" w:cs="Times New Roman"/>
                <w:sz w:val="24"/>
                <w:szCs w:val="24"/>
              </w:rPr>
            </w:pPr>
            <w:r w:rsidRPr="00D46310">
              <w:rPr>
                <w:rFonts w:ascii="Times New Roman" w:eastAsia="Times New Roman" w:hAnsi="Times New Roman" w:cs="Times New Roman"/>
                <w:sz w:val="24"/>
                <w:szCs w:val="24"/>
              </w:rPr>
              <w:t xml:space="preserve">Two major historians, Howard Zinn and Larry </w:t>
            </w:r>
            <w:proofErr w:type="spellStart"/>
            <w:r w:rsidRPr="00D46310">
              <w:rPr>
                <w:rFonts w:ascii="Times New Roman" w:eastAsia="Times New Roman" w:hAnsi="Times New Roman" w:cs="Times New Roman"/>
                <w:sz w:val="24"/>
                <w:szCs w:val="24"/>
              </w:rPr>
              <w:t>Schweikart</w:t>
            </w:r>
            <w:proofErr w:type="spellEnd"/>
            <w:r w:rsidRPr="00D46310">
              <w:rPr>
                <w:rFonts w:ascii="Times New Roman" w:eastAsia="Times New Roman" w:hAnsi="Times New Roman" w:cs="Times New Roman"/>
                <w:sz w:val="24"/>
                <w:szCs w:val="24"/>
              </w:rPr>
              <w:t xml:space="preserve">, have written popular books on American history containing very different historical interpretations of the same events. Explore this interactive resource on Zinn and </w:t>
            </w:r>
            <w:proofErr w:type="spellStart"/>
            <w:r w:rsidRPr="00D46310">
              <w:rPr>
                <w:rFonts w:ascii="Times New Roman" w:eastAsia="Times New Roman" w:hAnsi="Times New Roman" w:cs="Times New Roman"/>
                <w:sz w:val="24"/>
                <w:szCs w:val="24"/>
              </w:rPr>
              <w:t>Schweikart</w:t>
            </w:r>
            <w:proofErr w:type="spellEnd"/>
            <w:r w:rsidRPr="00D46310">
              <w:rPr>
                <w:rFonts w:ascii="Times New Roman" w:eastAsia="Times New Roman" w:hAnsi="Times New Roman" w:cs="Times New Roman"/>
                <w:sz w:val="24"/>
                <w:szCs w:val="24"/>
              </w:rPr>
              <w:t xml:space="preserve"> to learn about their different personal assumptions, beliefs, and </w:t>
            </w:r>
            <w:r w:rsidRPr="00D46310">
              <w:rPr>
                <w:rFonts w:ascii="Times New Roman" w:eastAsia="Times New Roman" w:hAnsi="Times New Roman" w:cs="Times New Roman"/>
                <w:sz w:val="24"/>
                <w:szCs w:val="24"/>
              </w:rPr>
              <w:lastRenderedPageBreak/>
              <w:t>values that might influence how each historian interprets historical events and might introduce bias into their writing.</w:t>
            </w:r>
          </w:p>
          <w:p w:rsidR="00D46310" w:rsidRPr="00D46310" w:rsidRDefault="00D46310" w:rsidP="00D46310">
            <w:pPr>
              <w:spacing w:before="100" w:beforeAutospacing="1" w:after="100" w:afterAutospacing="1" w:line="240" w:lineRule="auto"/>
              <w:rPr>
                <w:rFonts w:ascii="Times New Roman" w:eastAsia="Times New Roman" w:hAnsi="Times New Roman" w:cs="Times New Roman"/>
                <w:sz w:val="24"/>
                <w:szCs w:val="24"/>
              </w:rPr>
            </w:pPr>
            <w:r w:rsidRPr="00D46310">
              <w:rPr>
                <w:rFonts w:ascii="Times New Roman" w:eastAsia="Times New Roman" w:hAnsi="Times New Roman" w:cs="Times New Roman"/>
                <w:noProof/>
                <w:color w:val="0000FF"/>
                <w:sz w:val="24"/>
                <w:szCs w:val="24"/>
              </w:rPr>
              <w:drawing>
                <wp:inline distT="0" distB="0" distL="0" distR="0">
                  <wp:extent cx="2857500" cy="1628775"/>
                  <wp:effectExtent l="0" t="0" r="0" b="9525"/>
                  <wp:docPr id="4" name="Picture 4" descr="http://snhu-media.snhu.edu/files/course_repository/undergraduate/his/his100/Theme1/1-3.jp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nhu-media.snhu.edu/files/course_repository/undergraduate/his/his100/Theme1/1-3.jpg">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628775"/>
                          </a:xfrm>
                          <a:prstGeom prst="rect">
                            <a:avLst/>
                          </a:prstGeom>
                          <a:noFill/>
                          <a:ln>
                            <a:noFill/>
                          </a:ln>
                        </pic:spPr>
                      </pic:pic>
                    </a:graphicData>
                  </a:graphic>
                </wp:inline>
              </w:drawing>
            </w:r>
          </w:p>
        </w:tc>
      </w:tr>
    </w:tbl>
    <w:p w:rsidR="00D46310" w:rsidRPr="00D46310" w:rsidRDefault="00D46310" w:rsidP="00D46310">
      <w:pPr>
        <w:spacing w:before="100" w:beforeAutospacing="1" w:after="100" w:afterAutospacing="1" w:line="240" w:lineRule="auto"/>
        <w:outlineLvl w:val="2"/>
        <w:rPr>
          <w:rFonts w:ascii="Arial" w:eastAsia="Times New Roman" w:hAnsi="Arial" w:cs="Arial"/>
          <w:b/>
          <w:bCs/>
          <w:color w:val="565A5C"/>
          <w:sz w:val="27"/>
          <w:szCs w:val="27"/>
        </w:rPr>
      </w:pPr>
      <w:r w:rsidRPr="00D46310">
        <w:rPr>
          <w:rFonts w:ascii="Arial" w:eastAsia="Times New Roman" w:hAnsi="Arial" w:cs="Arial"/>
          <w:b/>
          <w:bCs/>
          <w:color w:val="565A5C"/>
          <w:sz w:val="27"/>
          <w:szCs w:val="27"/>
        </w:rPr>
        <w:lastRenderedPageBreak/>
        <w:t>Perspectives: A Tale of Two Historical Biases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5"/>
        <w:gridCol w:w="7935"/>
      </w:tblGrid>
      <w:tr w:rsidR="00D46310" w:rsidRPr="00D46310" w:rsidTr="00D46310">
        <w:trPr>
          <w:tblCellSpacing w:w="15" w:type="dxa"/>
        </w:trPr>
        <w:tc>
          <w:tcPr>
            <w:tcW w:w="480" w:type="dxa"/>
            <w:hideMark/>
          </w:tcPr>
          <w:p w:rsidR="00D46310" w:rsidRPr="00D46310" w:rsidRDefault="00D46310" w:rsidP="00D46310">
            <w:pPr>
              <w:spacing w:after="0" w:line="240" w:lineRule="auto"/>
              <w:rPr>
                <w:rFonts w:ascii="Times New Roman" w:eastAsia="Times New Roman" w:hAnsi="Times New Roman" w:cs="Times New Roman"/>
                <w:sz w:val="24"/>
                <w:szCs w:val="24"/>
              </w:rPr>
            </w:pPr>
            <w:r w:rsidRPr="00D46310">
              <w:rPr>
                <w:rFonts w:ascii="Times New Roman" w:eastAsia="Times New Roman" w:hAnsi="Times New Roman" w:cs="Times New Roman"/>
                <w:noProof/>
                <w:sz w:val="24"/>
                <w:szCs w:val="24"/>
              </w:rPr>
              <w:drawing>
                <wp:inline distT="0" distB="0" distL="0" distR="0">
                  <wp:extent cx="857250" cy="857250"/>
                  <wp:effectExtent l="0" t="0" r="0" b="0"/>
                  <wp:docPr id="3" name="Picture 3" descr="Resour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ource Ic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D46310" w:rsidRPr="00D46310" w:rsidRDefault="00D46310" w:rsidP="00D46310">
            <w:pPr>
              <w:spacing w:before="100" w:beforeAutospacing="1" w:after="100" w:afterAutospacing="1" w:line="240" w:lineRule="auto"/>
              <w:rPr>
                <w:rFonts w:ascii="Times New Roman" w:eastAsia="Times New Roman" w:hAnsi="Times New Roman" w:cs="Times New Roman"/>
                <w:sz w:val="24"/>
                <w:szCs w:val="24"/>
              </w:rPr>
            </w:pPr>
            <w:r w:rsidRPr="00D46310">
              <w:rPr>
                <w:rFonts w:ascii="Times New Roman" w:eastAsia="Times New Roman" w:hAnsi="Times New Roman" w:cs="Times New Roman"/>
                <w:sz w:val="24"/>
                <w:szCs w:val="24"/>
              </w:rPr>
              <w:t xml:space="preserve">Now that you have learned a bit about Zinn’s and </w:t>
            </w:r>
            <w:proofErr w:type="spellStart"/>
            <w:r w:rsidRPr="00D46310">
              <w:rPr>
                <w:rFonts w:ascii="Times New Roman" w:eastAsia="Times New Roman" w:hAnsi="Times New Roman" w:cs="Times New Roman"/>
                <w:sz w:val="24"/>
                <w:szCs w:val="24"/>
              </w:rPr>
              <w:t>Schweikart’s</w:t>
            </w:r>
            <w:proofErr w:type="spellEnd"/>
            <w:r w:rsidRPr="00D46310">
              <w:rPr>
                <w:rFonts w:ascii="Times New Roman" w:eastAsia="Times New Roman" w:hAnsi="Times New Roman" w:cs="Times New Roman"/>
                <w:sz w:val="24"/>
                <w:szCs w:val="24"/>
              </w:rPr>
              <w:t xml:space="preserve"> personal assumptions, beliefs, and values, </w:t>
            </w:r>
            <w:proofErr w:type="gramStart"/>
            <w:r w:rsidRPr="00D46310">
              <w:rPr>
                <w:rFonts w:ascii="Times New Roman" w:eastAsia="Times New Roman" w:hAnsi="Times New Roman" w:cs="Times New Roman"/>
                <w:sz w:val="24"/>
                <w:szCs w:val="24"/>
              </w:rPr>
              <w:t>take a look</w:t>
            </w:r>
            <w:proofErr w:type="gramEnd"/>
            <w:r w:rsidRPr="00D46310">
              <w:rPr>
                <w:rFonts w:ascii="Times New Roman" w:eastAsia="Times New Roman" w:hAnsi="Times New Roman" w:cs="Times New Roman"/>
                <w:sz w:val="24"/>
                <w:szCs w:val="24"/>
              </w:rPr>
              <w:t xml:space="preserve"> at how they have written about the same historical events: Christopher Columbus’s arrival in the Americas in 1492. As you read through each excerpt, be sure to consider what biases may be present in their work.</w:t>
            </w:r>
          </w:p>
          <w:p w:rsidR="00D46310" w:rsidRPr="00D46310" w:rsidRDefault="00D46310" w:rsidP="00D46310">
            <w:pPr>
              <w:spacing w:before="100" w:beforeAutospacing="1" w:after="100" w:afterAutospacing="1" w:line="240" w:lineRule="auto"/>
              <w:rPr>
                <w:rFonts w:ascii="Times New Roman" w:eastAsia="Times New Roman" w:hAnsi="Times New Roman" w:cs="Times New Roman"/>
                <w:sz w:val="24"/>
                <w:szCs w:val="24"/>
              </w:rPr>
            </w:pPr>
            <w:r w:rsidRPr="00D46310">
              <w:rPr>
                <w:rFonts w:ascii="Times New Roman" w:eastAsia="Times New Roman" w:hAnsi="Times New Roman" w:cs="Times New Roman"/>
                <w:noProof/>
                <w:sz w:val="24"/>
                <w:szCs w:val="24"/>
              </w:rPr>
              <w:drawing>
                <wp:inline distT="0" distB="0" distL="0" distR="0">
                  <wp:extent cx="2571750" cy="1924050"/>
                  <wp:effectExtent l="0" t="0" r="0" b="0"/>
                  <wp:docPr id="2" name="Picture 2" descr="https://upload.wikimedia.org/wikipedia/commons/3/35/Howard_Zinn_at_lecte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3/35/Howard_Zinn_at_lecter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1750" cy="1924050"/>
                          </a:xfrm>
                          <a:prstGeom prst="rect">
                            <a:avLst/>
                          </a:prstGeom>
                          <a:noFill/>
                          <a:ln>
                            <a:noFill/>
                          </a:ln>
                        </pic:spPr>
                      </pic:pic>
                    </a:graphicData>
                  </a:graphic>
                </wp:inline>
              </w:drawing>
            </w:r>
            <w:r w:rsidRPr="00D46310">
              <w:rPr>
                <w:rFonts w:ascii="Times New Roman" w:eastAsia="Times New Roman" w:hAnsi="Times New Roman" w:cs="Times New Roman"/>
                <w:sz w:val="24"/>
                <w:szCs w:val="24"/>
              </w:rPr>
              <w:t> </w:t>
            </w:r>
            <w:r w:rsidRPr="00D46310">
              <w:rPr>
                <w:rFonts w:ascii="Times New Roman" w:eastAsia="Times New Roman" w:hAnsi="Times New Roman" w:cs="Times New Roman"/>
                <w:sz w:val="24"/>
                <w:szCs w:val="24"/>
              </w:rPr>
              <w:br/>
              <w:t>Howard Zinn</w:t>
            </w:r>
          </w:p>
          <w:p w:rsidR="00D46310" w:rsidRPr="00D46310" w:rsidRDefault="00D46310" w:rsidP="00D46310">
            <w:pPr>
              <w:spacing w:before="100" w:beforeAutospacing="1" w:after="100" w:afterAutospacing="1" w:line="240" w:lineRule="auto"/>
              <w:rPr>
                <w:rFonts w:ascii="Times New Roman" w:eastAsia="Times New Roman" w:hAnsi="Times New Roman" w:cs="Times New Roman"/>
                <w:sz w:val="24"/>
                <w:szCs w:val="24"/>
              </w:rPr>
            </w:pPr>
            <w:r w:rsidRPr="00D46310">
              <w:rPr>
                <w:rFonts w:ascii="Times New Roman" w:eastAsia="Times New Roman" w:hAnsi="Times New Roman" w:cs="Times New Roman"/>
                <w:b/>
                <w:bCs/>
                <w:sz w:val="24"/>
                <w:szCs w:val="24"/>
              </w:rPr>
              <w:t>Zinn, H. (2010). </w:t>
            </w:r>
            <w:r w:rsidRPr="00D46310">
              <w:rPr>
                <w:rFonts w:ascii="Times New Roman" w:eastAsia="Times New Roman" w:hAnsi="Times New Roman" w:cs="Times New Roman"/>
                <w:b/>
                <w:bCs/>
                <w:i/>
                <w:iCs/>
                <w:sz w:val="24"/>
                <w:szCs w:val="24"/>
              </w:rPr>
              <w:t>A people’s history of the United States</w:t>
            </w:r>
            <w:r w:rsidRPr="00D46310">
              <w:rPr>
                <w:rFonts w:ascii="Times New Roman" w:eastAsia="Times New Roman" w:hAnsi="Times New Roman" w:cs="Times New Roman"/>
                <w:b/>
                <w:bCs/>
                <w:sz w:val="24"/>
                <w:szCs w:val="24"/>
              </w:rPr>
              <w:t>. New York, NY: Harper Perennial</w:t>
            </w:r>
            <w:r w:rsidRPr="00D46310">
              <w:rPr>
                <w:rFonts w:ascii="Times New Roman" w:eastAsia="Times New Roman" w:hAnsi="Times New Roman" w:cs="Times New Roman"/>
                <w:sz w:val="24"/>
                <w:szCs w:val="24"/>
              </w:rPr>
              <w:t>. “To emphasize the heroism of Columbus and his successors as navigators and discoverers, and to de-emphasize their genocide, is not a technical necessity but an ideological choice. It serves—unwittingly—to justify what was done.</w:t>
            </w:r>
          </w:p>
          <w:p w:rsidR="00D46310" w:rsidRPr="00D46310" w:rsidRDefault="00D46310" w:rsidP="00D46310">
            <w:pPr>
              <w:spacing w:before="100" w:beforeAutospacing="1" w:after="100" w:afterAutospacing="1" w:line="240" w:lineRule="auto"/>
              <w:rPr>
                <w:rFonts w:ascii="Times New Roman" w:eastAsia="Times New Roman" w:hAnsi="Times New Roman" w:cs="Times New Roman"/>
                <w:sz w:val="24"/>
                <w:szCs w:val="24"/>
              </w:rPr>
            </w:pPr>
            <w:r w:rsidRPr="00D46310">
              <w:rPr>
                <w:rFonts w:ascii="Times New Roman" w:eastAsia="Times New Roman" w:hAnsi="Times New Roman" w:cs="Times New Roman"/>
                <w:sz w:val="24"/>
                <w:szCs w:val="24"/>
              </w:rPr>
              <w:t>My point is not that we must, in telling history, accuse, judge, condemn Columbus </w:t>
            </w:r>
            <w:r w:rsidRPr="00D46310">
              <w:rPr>
                <w:rFonts w:ascii="Times New Roman" w:eastAsia="Times New Roman" w:hAnsi="Times New Roman" w:cs="Times New Roman"/>
                <w:i/>
                <w:iCs/>
                <w:sz w:val="24"/>
                <w:szCs w:val="24"/>
              </w:rPr>
              <w:t>in absentia</w:t>
            </w:r>
            <w:r w:rsidRPr="00D46310">
              <w:rPr>
                <w:rFonts w:ascii="Times New Roman" w:eastAsia="Times New Roman" w:hAnsi="Times New Roman" w:cs="Times New Roman"/>
                <w:sz w:val="24"/>
                <w:szCs w:val="24"/>
              </w:rPr>
              <w:t xml:space="preserve">. It is too late for that; it would be a useless scholarly exercise in morality. But the easy acceptance of atrocities as a deplorable but necessary price to pay for progress (Hiroshima and Vietnam, to save Western civilization; </w:t>
            </w:r>
            <w:proofErr w:type="spellStart"/>
            <w:r w:rsidRPr="00D46310">
              <w:rPr>
                <w:rFonts w:ascii="Times New Roman" w:eastAsia="Times New Roman" w:hAnsi="Times New Roman" w:cs="Times New Roman"/>
                <w:sz w:val="24"/>
                <w:szCs w:val="24"/>
              </w:rPr>
              <w:t>Kronstadt</w:t>
            </w:r>
            <w:proofErr w:type="spellEnd"/>
            <w:r w:rsidRPr="00D46310">
              <w:rPr>
                <w:rFonts w:ascii="Times New Roman" w:eastAsia="Times New Roman" w:hAnsi="Times New Roman" w:cs="Times New Roman"/>
                <w:sz w:val="24"/>
                <w:szCs w:val="24"/>
              </w:rPr>
              <w:t xml:space="preserve"> and Hungary, to save socialism; nuclear proliferation, to </w:t>
            </w:r>
            <w:r w:rsidRPr="00D46310">
              <w:rPr>
                <w:rFonts w:ascii="Times New Roman" w:eastAsia="Times New Roman" w:hAnsi="Times New Roman" w:cs="Times New Roman"/>
                <w:sz w:val="24"/>
                <w:szCs w:val="24"/>
              </w:rPr>
              <w:lastRenderedPageBreak/>
              <w:t xml:space="preserve">save us all)—that is still with us. One reason these atrocities are still with us is that we have learned to bury them in a mass of other facts, as radioactive wastes are buried in containers in the earth. We have learned to give them </w:t>
            </w:r>
            <w:proofErr w:type="gramStart"/>
            <w:r w:rsidRPr="00D46310">
              <w:rPr>
                <w:rFonts w:ascii="Times New Roman" w:eastAsia="Times New Roman" w:hAnsi="Times New Roman" w:cs="Times New Roman"/>
                <w:sz w:val="24"/>
                <w:szCs w:val="24"/>
              </w:rPr>
              <w:t>exactly the same</w:t>
            </w:r>
            <w:proofErr w:type="gramEnd"/>
            <w:r w:rsidRPr="00D46310">
              <w:rPr>
                <w:rFonts w:ascii="Times New Roman" w:eastAsia="Times New Roman" w:hAnsi="Times New Roman" w:cs="Times New Roman"/>
                <w:sz w:val="24"/>
                <w:szCs w:val="24"/>
              </w:rPr>
              <w:t xml:space="preserve"> proportion of attention that teachers and writers often give them in the most respectable of classrooms and textbooks. This learned sense of moral proportion, coming from the apparent objectivity of the scholar, is accepted more easily than when it comes from politicians at press conferences. It is therefore </w:t>
            </w:r>
            <w:proofErr w:type="gramStart"/>
            <w:r w:rsidRPr="00D46310">
              <w:rPr>
                <w:rFonts w:ascii="Times New Roman" w:eastAsia="Times New Roman" w:hAnsi="Times New Roman" w:cs="Times New Roman"/>
                <w:sz w:val="24"/>
                <w:szCs w:val="24"/>
              </w:rPr>
              <w:t>more deadly</w:t>
            </w:r>
            <w:proofErr w:type="gramEnd"/>
            <w:r w:rsidRPr="00D46310">
              <w:rPr>
                <w:rFonts w:ascii="Times New Roman" w:eastAsia="Times New Roman" w:hAnsi="Times New Roman" w:cs="Times New Roman"/>
                <w:sz w:val="24"/>
                <w:szCs w:val="24"/>
              </w:rPr>
              <w:t>.” (p. 9)</w:t>
            </w:r>
          </w:p>
          <w:p w:rsidR="00D46310" w:rsidRPr="00D46310" w:rsidRDefault="00D46310" w:rsidP="00D46310">
            <w:pPr>
              <w:spacing w:after="0" w:line="240" w:lineRule="auto"/>
              <w:rPr>
                <w:rFonts w:ascii="Times New Roman" w:eastAsia="Times New Roman" w:hAnsi="Times New Roman" w:cs="Times New Roman"/>
                <w:sz w:val="24"/>
                <w:szCs w:val="24"/>
              </w:rPr>
            </w:pPr>
            <w:r w:rsidRPr="00D46310">
              <w:rPr>
                <w:rFonts w:ascii="Times New Roman" w:eastAsia="Times New Roman" w:hAnsi="Times New Roman" w:cs="Times New Roman"/>
                <w:sz w:val="24"/>
                <w:szCs w:val="24"/>
              </w:rPr>
              <w:pict>
                <v:rect id="_x0000_i1083" style="width:0;height:1.5pt" o:hralign="center" o:hrstd="t" o:hr="t" fillcolor="#a0a0a0" stroked="f"/>
              </w:pict>
            </w:r>
          </w:p>
          <w:p w:rsidR="00D46310" w:rsidRPr="00D46310" w:rsidRDefault="00D46310" w:rsidP="00D46310">
            <w:pPr>
              <w:spacing w:before="100" w:beforeAutospacing="1" w:after="100" w:afterAutospacing="1" w:line="240" w:lineRule="auto"/>
              <w:rPr>
                <w:rFonts w:ascii="Times New Roman" w:eastAsia="Times New Roman" w:hAnsi="Times New Roman" w:cs="Times New Roman"/>
                <w:sz w:val="24"/>
                <w:szCs w:val="24"/>
              </w:rPr>
            </w:pPr>
            <w:r w:rsidRPr="00D46310">
              <w:rPr>
                <w:rFonts w:ascii="Times New Roman" w:eastAsia="Times New Roman" w:hAnsi="Times New Roman" w:cs="Times New Roman"/>
                <w:sz w:val="24"/>
                <w:szCs w:val="24"/>
              </w:rPr>
              <w:br/>
            </w:r>
            <w:r w:rsidRPr="00D46310">
              <w:rPr>
                <w:rFonts w:ascii="Times New Roman" w:eastAsia="Times New Roman" w:hAnsi="Times New Roman" w:cs="Times New Roman"/>
                <w:noProof/>
                <w:sz w:val="24"/>
                <w:szCs w:val="24"/>
              </w:rPr>
              <w:drawing>
                <wp:inline distT="0" distB="0" distL="0" distR="0">
                  <wp:extent cx="2419350" cy="1362075"/>
                  <wp:effectExtent l="0" t="0" r="0" b="9525"/>
                  <wp:docPr id="1" name="Picture 1" descr="https://i.ytimg.com/vi/4BnxorN4VzQ/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ytimg.com/vi/4BnxorN4VzQ/maxresdefaul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19350" cy="1362075"/>
                          </a:xfrm>
                          <a:prstGeom prst="rect">
                            <a:avLst/>
                          </a:prstGeom>
                          <a:noFill/>
                          <a:ln>
                            <a:noFill/>
                          </a:ln>
                        </pic:spPr>
                      </pic:pic>
                    </a:graphicData>
                  </a:graphic>
                </wp:inline>
              </w:drawing>
            </w:r>
            <w:r w:rsidRPr="00D46310">
              <w:rPr>
                <w:rFonts w:ascii="Times New Roman" w:eastAsia="Times New Roman" w:hAnsi="Times New Roman" w:cs="Times New Roman"/>
                <w:sz w:val="24"/>
                <w:szCs w:val="24"/>
              </w:rPr>
              <w:t> </w:t>
            </w:r>
            <w:r w:rsidRPr="00D46310">
              <w:rPr>
                <w:rFonts w:ascii="Times New Roman" w:eastAsia="Times New Roman" w:hAnsi="Times New Roman" w:cs="Times New Roman"/>
                <w:sz w:val="24"/>
                <w:szCs w:val="24"/>
              </w:rPr>
              <w:br/>
              <w:t xml:space="preserve">Larry </w:t>
            </w:r>
            <w:proofErr w:type="spellStart"/>
            <w:r w:rsidRPr="00D46310">
              <w:rPr>
                <w:rFonts w:ascii="Times New Roman" w:eastAsia="Times New Roman" w:hAnsi="Times New Roman" w:cs="Times New Roman"/>
                <w:sz w:val="24"/>
                <w:szCs w:val="24"/>
              </w:rPr>
              <w:t>Schweikart</w:t>
            </w:r>
            <w:proofErr w:type="spellEnd"/>
          </w:p>
          <w:p w:rsidR="00D46310" w:rsidRPr="00D46310" w:rsidRDefault="00D46310" w:rsidP="00D46310">
            <w:pPr>
              <w:spacing w:before="100" w:beforeAutospacing="1" w:after="100" w:afterAutospacing="1" w:line="240" w:lineRule="auto"/>
              <w:rPr>
                <w:rFonts w:ascii="Times New Roman" w:eastAsia="Times New Roman" w:hAnsi="Times New Roman" w:cs="Times New Roman"/>
                <w:sz w:val="24"/>
                <w:szCs w:val="24"/>
              </w:rPr>
            </w:pPr>
            <w:proofErr w:type="spellStart"/>
            <w:r w:rsidRPr="00D46310">
              <w:rPr>
                <w:rFonts w:ascii="Times New Roman" w:eastAsia="Times New Roman" w:hAnsi="Times New Roman" w:cs="Times New Roman"/>
                <w:b/>
                <w:bCs/>
                <w:sz w:val="24"/>
                <w:szCs w:val="24"/>
              </w:rPr>
              <w:t>Schweikart</w:t>
            </w:r>
            <w:proofErr w:type="spellEnd"/>
            <w:r w:rsidRPr="00D46310">
              <w:rPr>
                <w:rFonts w:ascii="Times New Roman" w:eastAsia="Times New Roman" w:hAnsi="Times New Roman" w:cs="Times New Roman"/>
                <w:b/>
                <w:bCs/>
                <w:sz w:val="24"/>
                <w:szCs w:val="24"/>
              </w:rPr>
              <w:t>, L., &amp; Allen, M. (2004). </w:t>
            </w:r>
            <w:r w:rsidRPr="00D46310">
              <w:rPr>
                <w:rFonts w:ascii="Times New Roman" w:eastAsia="Times New Roman" w:hAnsi="Times New Roman" w:cs="Times New Roman"/>
                <w:b/>
                <w:bCs/>
                <w:i/>
                <w:iCs/>
                <w:sz w:val="24"/>
                <w:szCs w:val="24"/>
              </w:rPr>
              <w:t>A patriot’s history of the United States: From Columbus’s Great Discovery to the war on terror</w:t>
            </w:r>
            <w:r w:rsidRPr="00D46310">
              <w:rPr>
                <w:rFonts w:ascii="Times New Roman" w:eastAsia="Times New Roman" w:hAnsi="Times New Roman" w:cs="Times New Roman"/>
                <w:b/>
                <w:bCs/>
                <w:sz w:val="24"/>
                <w:szCs w:val="24"/>
              </w:rPr>
              <w:t>. New York, NY: Sentinel</w:t>
            </w:r>
            <w:r w:rsidRPr="00D46310">
              <w:rPr>
                <w:rFonts w:ascii="Times New Roman" w:eastAsia="Times New Roman" w:hAnsi="Times New Roman" w:cs="Times New Roman"/>
                <w:sz w:val="24"/>
                <w:szCs w:val="24"/>
              </w:rPr>
              <w:t xml:space="preserve">. “The five‐hundred‐year anniversary of Columbus’s discovery was marked by unusual and strident controversy. </w:t>
            </w:r>
            <w:proofErr w:type="gramStart"/>
            <w:r w:rsidRPr="00D46310">
              <w:rPr>
                <w:rFonts w:ascii="Times New Roman" w:eastAsia="Times New Roman" w:hAnsi="Times New Roman" w:cs="Times New Roman"/>
                <w:sz w:val="24"/>
                <w:szCs w:val="24"/>
              </w:rPr>
              <w:t>Rising up</w:t>
            </w:r>
            <w:proofErr w:type="gramEnd"/>
            <w:r w:rsidRPr="00D46310">
              <w:rPr>
                <w:rFonts w:ascii="Times New Roman" w:eastAsia="Times New Roman" w:hAnsi="Times New Roman" w:cs="Times New Roman"/>
                <w:sz w:val="24"/>
                <w:szCs w:val="24"/>
              </w:rPr>
              <w:t xml:space="preserve"> to challenge the intrepid voyager’s courage and vision—as well as the establishment of European civilization in the New World—was a crescendo of damnation, which posited that the Genoese navigator was a mass murderer akin to Adolf Hitler.</w:t>
            </w:r>
          </w:p>
          <w:p w:rsidR="00D46310" w:rsidRPr="00D46310" w:rsidRDefault="00D46310" w:rsidP="00D46310">
            <w:pPr>
              <w:spacing w:before="100" w:beforeAutospacing="1" w:after="100" w:afterAutospacing="1" w:line="240" w:lineRule="auto"/>
              <w:rPr>
                <w:rFonts w:ascii="Times New Roman" w:eastAsia="Times New Roman" w:hAnsi="Times New Roman" w:cs="Times New Roman"/>
                <w:sz w:val="24"/>
                <w:szCs w:val="24"/>
              </w:rPr>
            </w:pPr>
            <w:r w:rsidRPr="00D46310">
              <w:rPr>
                <w:rFonts w:ascii="Times New Roman" w:eastAsia="Times New Roman" w:hAnsi="Times New Roman" w:cs="Times New Roman"/>
                <w:sz w:val="24"/>
                <w:szCs w:val="24"/>
              </w:rPr>
              <w:t>Even the establishment of European outposts was, according to the revisionist critique, a regrettable development. Although this division of interpretations no doubt confused and dampened many a Columbian festival in 1992, it also elicited a most intriguing historical debate: did the esteemed Admiral of the Ocean Sea kill almost all the Indians? A number of recent scholarly studies have dispelled or at least substantially modified many of the numbers generated by the anti‐Columbus groups, although other new research has actually increased them.” (pp. 7–8)</w:t>
            </w:r>
          </w:p>
        </w:tc>
      </w:tr>
    </w:tbl>
    <w:p w:rsidR="00BE4320" w:rsidRDefault="00BE4320"/>
    <w:sectPr w:rsidR="00BE43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1A6F24"/>
    <w:multiLevelType w:val="multilevel"/>
    <w:tmpl w:val="F5C4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310"/>
    <w:rsid w:val="00BE4320"/>
    <w:rsid w:val="00D46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DD47A"/>
  <w15:chartTrackingRefBased/>
  <w15:docId w15:val="{CBC7C1F2-7703-4E6B-964C-F92FB63E6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63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463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D463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4631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4631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46310"/>
    <w:rPr>
      <w:b/>
      <w:bCs/>
    </w:rPr>
  </w:style>
  <w:style w:type="character" w:styleId="Emphasis">
    <w:name w:val="Emphasis"/>
    <w:basedOn w:val="DefaultParagraphFont"/>
    <w:uiPriority w:val="20"/>
    <w:qFormat/>
    <w:rsid w:val="00D46310"/>
    <w:rPr>
      <w:i/>
      <w:iCs/>
    </w:rPr>
  </w:style>
  <w:style w:type="character" w:customStyle="1" w:styleId="Heading1Char">
    <w:name w:val="Heading 1 Char"/>
    <w:basedOn w:val="DefaultParagraphFont"/>
    <w:link w:val="Heading1"/>
    <w:uiPriority w:val="9"/>
    <w:rsid w:val="00D4631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46310"/>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D46310"/>
    <w:rPr>
      <w:color w:val="0000FF"/>
      <w:u w:val="single"/>
    </w:rPr>
  </w:style>
  <w:style w:type="character" w:customStyle="1" w:styleId="d2l-offscreen">
    <w:name w:val="d2l-offscreen"/>
    <w:basedOn w:val="DefaultParagraphFont"/>
    <w:rsid w:val="00D46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673818">
      <w:bodyDiv w:val="1"/>
      <w:marLeft w:val="0"/>
      <w:marRight w:val="0"/>
      <w:marTop w:val="0"/>
      <w:marBottom w:val="0"/>
      <w:divBdr>
        <w:top w:val="none" w:sz="0" w:space="0" w:color="auto"/>
        <w:left w:val="none" w:sz="0" w:space="0" w:color="auto"/>
        <w:bottom w:val="none" w:sz="0" w:space="0" w:color="auto"/>
        <w:right w:val="none" w:sz="0" w:space="0" w:color="auto"/>
      </w:divBdr>
      <w:divsChild>
        <w:div w:id="1207254091">
          <w:marLeft w:val="0"/>
          <w:marRight w:val="0"/>
          <w:marTop w:val="0"/>
          <w:marBottom w:val="0"/>
          <w:divBdr>
            <w:top w:val="none" w:sz="0" w:space="0" w:color="auto"/>
            <w:left w:val="none" w:sz="0" w:space="0" w:color="auto"/>
            <w:bottom w:val="none" w:sz="0" w:space="0" w:color="auto"/>
            <w:right w:val="none" w:sz="0" w:space="0" w:color="auto"/>
          </w:divBdr>
          <w:divsChild>
            <w:div w:id="2009089364">
              <w:marLeft w:val="0"/>
              <w:marRight w:val="0"/>
              <w:marTop w:val="0"/>
              <w:marBottom w:val="0"/>
              <w:divBdr>
                <w:top w:val="none" w:sz="0" w:space="0" w:color="auto"/>
                <w:left w:val="none" w:sz="0" w:space="0" w:color="auto"/>
                <w:bottom w:val="none" w:sz="0" w:space="0" w:color="auto"/>
                <w:right w:val="none" w:sz="0" w:space="0" w:color="auto"/>
              </w:divBdr>
              <w:divsChild>
                <w:div w:id="508256082">
                  <w:marLeft w:val="0"/>
                  <w:marRight w:val="0"/>
                  <w:marTop w:val="0"/>
                  <w:marBottom w:val="0"/>
                  <w:divBdr>
                    <w:top w:val="none" w:sz="0" w:space="0" w:color="auto"/>
                    <w:left w:val="none" w:sz="0" w:space="0" w:color="auto"/>
                    <w:bottom w:val="none" w:sz="0" w:space="0" w:color="auto"/>
                    <w:right w:val="none" w:sz="0" w:space="0" w:color="auto"/>
                  </w:divBdr>
                  <w:divsChild>
                    <w:div w:id="1490365427">
                      <w:marLeft w:val="0"/>
                      <w:marRight w:val="0"/>
                      <w:marTop w:val="0"/>
                      <w:marBottom w:val="0"/>
                      <w:divBdr>
                        <w:top w:val="none" w:sz="0" w:space="0" w:color="auto"/>
                        <w:left w:val="none" w:sz="0" w:space="0" w:color="auto"/>
                        <w:bottom w:val="none" w:sz="0" w:space="0" w:color="auto"/>
                        <w:right w:val="none" w:sz="0" w:space="0" w:color="auto"/>
                      </w:divBdr>
                      <w:divsChild>
                        <w:div w:id="2046129780">
                          <w:marLeft w:val="0"/>
                          <w:marRight w:val="0"/>
                          <w:marTop w:val="0"/>
                          <w:marBottom w:val="0"/>
                          <w:divBdr>
                            <w:top w:val="none" w:sz="0" w:space="0" w:color="auto"/>
                            <w:left w:val="none" w:sz="0" w:space="0" w:color="auto"/>
                            <w:bottom w:val="none" w:sz="0" w:space="0" w:color="auto"/>
                            <w:right w:val="none" w:sz="0" w:space="0" w:color="auto"/>
                          </w:divBdr>
                          <w:divsChild>
                            <w:div w:id="1992323680">
                              <w:marLeft w:val="0"/>
                              <w:marRight w:val="0"/>
                              <w:marTop w:val="0"/>
                              <w:marBottom w:val="0"/>
                              <w:divBdr>
                                <w:top w:val="none" w:sz="0" w:space="0" w:color="auto"/>
                                <w:left w:val="none" w:sz="0" w:space="0" w:color="auto"/>
                                <w:bottom w:val="none" w:sz="0" w:space="0" w:color="auto"/>
                                <w:right w:val="none" w:sz="0" w:space="0" w:color="auto"/>
                              </w:divBdr>
                              <w:divsChild>
                                <w:div w:id="1422215973">
                                  <w:marLeft w:val="0"/>
                                  <w:marRight w:val="0"/>
                                  <w:marTop w:val="0"/>
                                  <w:marBottom w:val="0"/>
                                  <w:divBdr>
                                    <w:top w:val="none" w:sz="0" w:space="0" w:color="auto"/>
                                    <w:left w:val="none" w:sz="0" w:space="0" w:color="auto"/>
                                    <w:bottom w:val="none" w:sz="0" w:space="0" w:color="auto"/>
                                    <w:right w:val="none" w:sz="0" w:space="0" w:color="auto"/>
                                  </w:divBdr>
                                  <w:divsChild>
                                    <w:div w:id="5285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21494">
                          <w:marLeft w:val="0"/>
                          <w:marRight w:val="0"/>
                          <w:marTop w:val="0"/>
                          <w:marBottom w:val="0"/>
                          <w:divBdr>
                            <w:top w:val="none" w:sz="0" w:space="0" w:color="auto"/>
                            <w:left w:val="none" w:sz="0" w:space="0" w:color="auto"/>
                            <w:bottom w:val="none" w:sz="0" w:space="0" w:color="auto"/>
                            <w:right w:val="none" w:sz="0" w:space="0" w:color="auto"/>
                          </w:divBdr>
                          <w:divsChild>
                            <w:div w:id="1318001713">
                              <w:marLeft w:val="0"/>
                              <w:marRight w:val="0"/>
                              <w:marTop w:val="0"/>
                              <w:marBottom w:val="150"/>
                              <w:divBdr>
                                <w:top w:val="none" w:sz="0" w:space="0" w:color="auto"/>
                                <w:left w:val="none" w:sz="0" w:space="0" w:color="auto"/>
                                <w:bottom w:val="none" w:sz="0" w:space="0" w:color="auto"/>
                                <w:right w:val="none" w:sz="0" w:space="0" w:color="auto"/>
                              </w:divBdr>
                              <w:divsChild>
                                <w:div w:id="1685279278">
                                  <w:marLeft w:val="150"/>
                                  <w:marRight w:val="0"/>
                                  <w:marTop w:val="0"/>
                                  <w:marBottom w:val="0"/>
                                  <w:divBdr>
                                    <w:top w:val="none" w:sz="0" w:space="0" w:color="auto"/>
                                    <w:left w:val="none" w:sz="0" w:space="0" w:color="auto"/>
                                    <w:bottom w:val="none" w:sz="0" w:space="0" w:color="auto"/>
                                    <w:right w:val="none" w:sz="0" w:space="0" w:color="auto"/>
                                  </w:divBdr>
                                  <w:divsChild>
                                    <w:div w:id="187499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5045981">
          <w:marLeft w:val="0"/>
          <w:marRight w:val="0"/>
          <w:marTop w:val="0"/>
          <w:marBottom w:val="0"/>
          <w:divBdr>
            <w:top w:val="none" w:sz="0" w:space="0" w:color="auto"/>
            <w:left w:val="none" w:sz="0" w:space="0" w:color="auto"/>
            <w:bottom w:val="none" w:sz="0" w:space="0" w:color="auto"/>
            <w:right w:val="none" w:sz="0" w:space="0" w:color="auto"/>
          </w:divBdr>
          <w:divsChild>
            <w:div w:id="1586263017">
              <w:marLeft w:val="0"/>
              <w:marRight w:val="0"/>
              <w:marTop w:val="0"/>
              <w:marBottom w:val="0"/>
              <w:divBdr>
                <w:top w:val="none" w:sz="0" w:space="0" w:color="auto"/>
                <w:left w:val="none" w:sz="0" w:space="0" w:color="auto"/>
                <w:bottom w:val="none" w:sz="0" w:space="0" w:color="auto"/>
                <w:right w:val="none" w:sz="0" w:space="0" w:color="auto"/>
              </w:divBdr>
              <w:divsChild>
                <w:div w:id="2118716536">
                  <w:marLeft w:val="0"/>
                  <w:marRight w:val="0"/>
                  <w:marTop w:val="0"/>
                  <w:marBottom w:val="0"/>
                  <w:divBdr>
                    <w:top w:val="single" w:sz="6" w:space="15" w:color="D4D4D4"/>
                    <w:left w:val="single" w:sz="6" w:space="15" w:color="D4D4D4"/>
                    <w:bottom w:val="single" w:sz="6" w:space="15" w:color="D4D4D4"/>
                    <w:right w:val="single" w:sz="6" w:space="15" w:color="D4D4D4"/>
                  </w:divBdr>
                </w:div>
              </w:divsChild>
            </w:div>
          </w:divsChild>
        </w:div>
      </w:divsChild>
    </w:div>
    <w:div w:id="1974825159">
      <w:bodyDiv w:val="1"/>
      <w:marLeft w:val="0"/>
      <w:marRight w:val="0"/>
      <w:marTop w:val="0"/>
      <w:marBottom w:val="0"/>
      <w:divBdr>
        <w:top w:val="none" w:sz="0" w:space="0" w:color="auto"/>
        <w:left w:val="none" w:sz="0" w:space="0" w:color="auto"/>
        <w:bottom w:val="none" w:sz="0" w:space="0" w:color="auto"/>
        <w:right w:val="none" w:sz="0" w:space="0" w:color="auto"/>
      </w:divBdr>
      <w:divsChild>
        <w:div w:id="757216551">
          <w:marLeft w:val="0"/>
          <w:marRight w:val="0"/>
          <w:marTop w:val="0"/>
          <w:marBottom w:val="0"/>
          <w:divBdr>
            <w:top w:val="none" w:sz="0" w:space="0" w:color="auto"/>
            <w:left w:val="none" w:sz="0" w:space="0" w:color="auto"/>
            <w:bottom w:val="none" w:sz="0" w:space="0" w:color="auto"/>
            <w:right w:val="none" w:sz="0" w:space="0" w:color="auto"/>
          </w:divBdr>
        </w:div>
        <w:div w:id="16300927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hu-media.snhu.edu/files/course_repository/undergraduate/his/his100/his_100_1-3/story.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cp:revision>
  <dcterms:created xsi:type="dcterms:W3CDTF">2018-09-03T17:24:00Z</dcterms:created>
  <dcterms:modified xsi:type="dcterms:W3CDTF">2018-09-03T17:32:00Z</dcterms:modified>
</cp:coreProperties>
</file>